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352098" cy="873982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2098" cy="8739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Las latinoamericanas exigen más oportunidades </w:t>
        <w:br w:type="textWrapping"/>
        <w:t xml:space="preserve">y paridad de género en el mercado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120" w:line="276" w:lineRule="auto"/>
        <w:contextualSpacing w:val="0"/>
        <w:jc w:val="center"/>
        <w:rPr>
          <w:rFonts w:ascii="Arial" w:cs="Arial" w:eastAsia="Arial" w:hAnsi="Arial"/>
          <w:b w:val="0"/>
          <w:i w:val="1"/>
          <w:sz w:val="22"/>
          <w:szCs w:val="22"/>
        </w:rPr>
      </w:pPr>
      <w:bookmarkStart w:colFirst="0" w:colLast="0" w:name="_t2l2cpce2ht3" w:id="0"/>
      <w:bookmarkEnd w:id="0"/>
      <w:r w:rsidDel="00000000" w:rsidR="00000000" w:rsidRPr="00000000">
        <w:rPr>
          <w:rFonts w:ascii="Helvetica Neue" w:cs="Helvetica Neue" w:eastAsia="Helvetica Neue" w:hAnsi="Helvetica Neue"/>
          <w:b w:val="0"/>
          <w:i w:val="1"/>
          <w:sz w:val="22"/>
          <w:szCs w:val="22"/>
          <w:rtl w:val="0"/>
        </w:rPr>
        <w:t xml:space="preserve">La campaña #YoQuiero de AdoptaUnMan, realizada en diversos países de la región, dio visibilidad a algunas de las inquietudes de las mujeres de Latinoamérica; siendo la equidad uno de los temas pendientes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Bogotá,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 mayo de 2018. –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Ofrecer las mismas oportunidades tanto a hombres como mujeres es uno de los rezagos más grandes de muchos países, pues aunque expertos como los de la Organización para la Cooperación y el Desarrollo Económicos (OCDE) reconocen avances, estos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aseguran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aún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persisten diferencias en todos los ámbitos de la vida social y económica entre ambos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géneros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Según la organización, los tres principales problemas de desigualdad son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violencia contra las mujeres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 persistente disparidad salarial y la distribución desigual del trabajo no remunerado. Es decir, que el rol de la mujer en la vida productiva y laboral es aún preocupante.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situación resaltada también por las mujeres colombianas en la plataforma #YoQuiero,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foro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creado por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 el que mujeres de los diferentes países en donde la aplicación tiene presencia, pudieron compartir lo que desean que cambie en su entorno.</w:t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“La lucha por empoderar a las mujeres tiene muchos frentes. Uno de los principales es darle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visibilidad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ofreciéndoles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 herramientas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necesarias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levantar la voz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expresando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exactamente qué es lo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requiere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un cambio”, indicó Rocío Cardosa, Project Manager de la plataforma. “Est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tipo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acciones invitan a empleadores, empresarios, tomadores de decisiones y gobiernos a actuar,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resaltando situaciones que deben mejorar",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aseguró.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Dentro de esta campaña, indicó Rocío Cardosa, el aspecto de igualdad de oportunidades tuvo una presencia importante. Algunas de las declaraciones más importantes de las mujeres colombianas al respecto fueron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 una mujer libre, que lucha por ser cada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color w:val="444444"/>
          <w:sz w:val="22"/>
          <w:szCs w:val="22"/>
          <w:highlight w:val="whit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mejor y tener mi propia identidad; al diablo los estereotipos. Soy una mujer guerrera que no tiene miedo a ser mejor. (Daniela, 22 años)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Tener las mismas oportunidades (Gabriela, 28 años).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 valorada por mis competencias, no por mi apariencia (Anónima, 23 años).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ambiente de trabajo igualitario, que no me crean débil…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erezco las mismas responsabilidades y beneficios que un hombre en el ambiente laboral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por ser mujer tengo menos capacidad (Michelle, 24 años).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nadie me subestime por ser mujer (Alejandra, 27 años).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En países de Latinoamérica, también se observó una tendencia de mensajes de paridad laboral: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“Quiero tener la oportunidad de demostrar mis capacidades”, compartió Ayelén, una chica de nacionalidad argentina de 24 años. En México, Jimena de 22 años quisiera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México donde no solo el clima sea idóneo como para usar faldas y vestidos...También el país”.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“Esto es una problemática presente en muchos países que limita oportunidades a todos. Por ello, además de impulsar políticas, necesitamos poner atención a nuestras actitudes y formas de comprender el problema de la desigualdad.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#Yoquiero,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busca ser parte de esa solución”, concluyó Rocío Cardosa.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Para leer más comentarios de mujeres que desean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 cambio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agregar tu opinión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visita el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portal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Acerca de</w:t>
      </w:r>
      <w:hyperlink r:id="rId10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Fundada por los emprendedores franceses Manuel Conejo y Florent Steiner, AdoptaUnMan ha seducido ya a más de 18.5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Cambria" w:cs="Cambria" w:eastAsia="Cambria" w:hAnsi="Cambri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Cambria" w:cs="Cambria" w:eastAsia="Cambria" w:hAnsi="Cambria"/>
          <w:sz w:val="22"/>
          <w:szCs w:val="22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Facebook:</w:t>
      </w: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Twitter:</w:t>
      </w: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Instagram:</w:t>
      </w: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709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doptaunman.com/" TargetMode="External"/><Relationship Id="rId10" Type="http://schemas.openxmlformats.org/officeDocument/2006/relationships/hyperlink" Target="https://www.adoptaunman.com/" TargetMode="External"/><Relationship Id="rId13" Type="http://schemas.openxmlformats.org/officeDocument/2006/relationships/hyperlink" Target="https://twitter.com/adoptaunman?lang=en" TargetMode="External"/><Relationship Id="rId12" Type="http://schemas.openxmlformats.org/officeDocument/2006/relationships/hyperlink" Target="https://www.facebook.com/AdoptaUnMa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chico.com.mx/yoquiero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instagram.com/adoptaunman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oecd.org/centrodemexico/medios/los-avances-en-materia-de-igualdad-de-genero-son-demasiado-lentos-dice-ocde.htm" TargetMode="External"/><Relationship Id="rId8" Type="http://schemas.openxmlformats.org/officeDocument/2006/relationships/hyperlink" Target="https://www.adoptaunma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